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B458A" w14:textId="5A0212AC" w:rsidR="00535E9B" w:rsidRPr="005D67E3" w:rsidRDefault="004D5549" w:rsidP="005D67E3"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Times New Roman" w:hAnsi="Verdana" w:cs="Times New Roman"/>
          <w:b/>
          <w:szCs w:val="18"/>
        </w:rPr>
        <w:tab/>
      </w:r>
      <w:r>
        <w:rPr>
          <w:rFonts w:ascii="Verdana" w:eastAsia="Times New Roman" w:hAnsi="Verdana" w:cs="Times New Roman"/>
          <w:b/>
          <w:noProof/>
          <w:szCs w:val="18"/>
          <w:lang w:eastAsia="pl-PL"/>
        </w:rPr>
        <w:drawing>
          <wp:inline distT="0" distB="0" distL="0" distR="0" wp14:anchorId="1DADFD79" wp14:editId="4B5580BC">
            <wp:extent cx="5261610" cy="14084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2962F6" w14:textId="2740D01D" w:rsidR="00C53A22" w:rsidRPr="004C68CD" w:rsidRDefault="00C53A22" w:rsidP="004C68CD">
      <w:pPr>
        <w:rPr>
          <w:rFonts w:ascii="Calibri" w:eastAsia="Times New Roman" w:hAnsi="Calibri" w:cs="Times New Roman"/>
          <w:b/>
          <w:bCs/>
          <w:color w:val="000000"/>
          <w:sz w:val="14"/>
          <w:szCs w:val="14"/>
        </w:rPr>
      </w:pPr>
    </w:p>
    <w:p w14:paraId="43089C1F" w14:textId="3C0F7028" w:rsidR="00C53A22" w:rsidRPr="00C53A22" w:rsidRDefault="004C68CD" w:rsidP="00842A55">
      <w:pPr>
        <w:spacing w:after="160" w:line="259" w:lineRule="auto"/>
        <w:jc w:val="right"/>
        <w:rPr>
          <w:rFonts w:ascii="Verdana" w:eastAsia="Calibri" w:hAnsi="Verdana" w:cs="Times New Roman"/>
          <w:b/>
          <w:szCs w:val="18"/>
        </w:rPr>
      </w:pPr>
      <w:r>
        <w:rPr>
          <w:rFonts w:ascii="Verdana" w:eastAsia="Calibri" w:hAnsi="Verdana" w:cs="Times New Roman"/>
          <w:b/>
          <w:szCs w:val="18"/>
        </w:rPr>
        <w:t xml:space="preserve">ZAŁĄCZNIK NR 12 </w:t>
      </w:r>
      <w:r w:rsidR="00C53A22" w:rsidRPr="00C53A22">
        <w:rPr>
          <w:rFonts w:ascii="Verdana" w:eastAsia="Calibri" w:hAnsi="Verdana" w:cs="Times New Roman"/>
          <w:b/>
          <w:szCs w:val="18"/>
        </w:rPr>
        <w:t xml:space="preserve">do SWZ  – </w:t>
      </w:r>
      <w:r w:rsidR="009D1815">
        <w:rPr>
          <w:rFonts w:ascii="Verdana" w:eastAsia="Calibri" w:hAnsi="Verdana" w:cs="Times New Roman"/>
          <w:b/>
          <w:szCs w:val="18"/>
        </w:rPr>
        <w:t>OŚWIADCZENIE</w:t>
      </w:r>
      <w:r w:rsidR="00C53A22" w:rsidRPr="00C53A22">
        <w:rPr>
          <w:rFonts w:ascii="Verdana" w:eastAsia="Calibri" w:hAnsi="Verdana" w:cs="Times New Roman"/>
          <w:b/>
          <w:szCs w:val="18"/>
        </w:rPr>
        <w:t xml:space="preserve"> O KRAJU POCHODZENIA</w:t>
      </w:r>
      <w:r w:rsidR="00CE0141">
        <w:rPr>
          <w:rFonts w:ascii="Verdana" w:eastAsia="Calibri" w:hAnsi="Verdana" w:cs="Times New Roman"/>
          <w:b/>
          <w:szCs w:val="18"/>
        </w:rPr>
        <w:t xml:space="preserve"> </w:t>
      </w:r>
    </w:p>
    <w:p w14:paraId="0746928D" w14:textId="24DF3321" w:rsidR="00B82B59" w:rsidRPr="00B82B59" w:rsidRDefault="00CE0141" w:rsidP="00B82B59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CE0141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O KRAJU POCHODZENIA</w:t>
      </w:r>
      <w:r w:rsidR="00B82B59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 PRODUKTÓW/ POSZCZEGÓLNYCH KOMPONENTÓW OFEROWANYCH TRANSFORMATORÓW</w:t>
      </w:r>
    </w:p>
    <w:p w14:paraId="1D14DC34" w14:textId="77777777" w:rsidR="00CE0141" w:rsidRPr="00CE0141" w:rsidRDefault="00CE0141" w:rsidP="00CE0141">
      <w:pPr>
        <w:spacing w:after="160" w:line="259" w:lineRule="auto"/>
        <w:rPr>
          <w:rFonts w:ascii="Verdana" w:eastAsia="Calibri" w:hAnsi="Verdana" w:cs="Times New Roman"/>
          <w:szCs w:val="18"/>
        </w:rPr>
      </w:pPr>
    </w:p>
    <w:p w14:paraId="445083EB" w14:textId="77777777" w:rsidR="00CE0141" w:rsidRPr="00CE0141" w:rsidRDefault="00CE0141" w:rsidP="00CE0141">
      <w:pPr>
        <w:spacing w:after="160" w:line="259" w:lineRule="auto"/>
        <w:rPr>
          <w:rFonts w:eastAsia="Calibri" w:cs="Times New Roman"/>
          <w:szCs w:val="18"/>
        </w:rPr>
      </w:pPr>
      <w:r w:rsidRPr="00CE0141">
        <w:rPr>
          <w:rFonts w:eastAsia="Calibri" w:cs="Times New Roman"/>
          <w:szCs w:val="18"/>
        </w:rPr>
        <w:t>Wykonawca/wykonawcy wspólnie ubiegający się o udzielenie zamówienia</w:t>
      </w:r>
    </w:p>
    <w:p w14:paraId="5FE19DB8" w14:textId="77777777" w:rsidR="00CE0141" w:rsidRPr="00CE0141" w:rsidRDefault="00CE0141" w:rsidP="00CE0141">
      <w:pPr>
        <w:spacing w:after="160" w:line="259" w:lineRule="auto"/>
        <w:rPr>
          <w:rFonts w:eastAsia="Calibri" w:cs="Times New Roman"/>
          <w:szCs w:val="18"/>
        </w:rPr>
      </w:pPr>
      <w:r w:rsidRPr="00CE0141">
        <w:rPr>
          <w:rFonts w:eastAsia="Calibri" w:cs="Times New Roman"/>
          <w:szCs w:val="18"/>
        </w:rPr>
        <w:t>……………………………………………… (pełna nazwa, adres, NIP, KRS)</w:t>
      </w:r>
    </w:p>
    <w:p w14:paraId="6D6C8364" w14:textId="77777777" w:rsidR="00CE0141" w:rsidRPr="00CE0141" w:rsidRDefault="00CE0141" w:rsidP="00CE0141">
      <w:pPr>
        <w:spacing w:after="160" w:line="259" w:lineRule="auto"/>
        <w:rPr>
          <w:rFonts w:eastAsia="Calibri" w:cs="Times New Roman"/>
          <w:szCs w:val="18"/>
        </w:rPr>
      </w:pPr>
    </w:p>
    <w:p w14:paraId="76F99494" w14:textId="469084D3" w:rsidR="00CE0141" w:rsidRDefault="00CE0141" w:rsidP="00CE0141">
      <w:pPr>
        <w:spacing w:after="160" w:line="259" w:lineRule="auto"/>
        <w:rPr>
          <w:rFonts w:eastAsia="Calibri" w:cs="Times New Roman"/>
          <w:b/>
          <w:szCs w:val="18"/>
        </w:rPr>
      </w:pPr>
      <w:r w:rsidRPr="00CE0141">
        <w:rPr>
          <w:rFonts w:eastAsia="Calibri" w:cs="Times New Roman"/>
          <w:szCs w:val="18"/>
        </w:rPr>
        <w:t>Dotyczy: postępowania o udzielenie zamówienia sektorowego prowadzoneg</w:t>
      </w:r>
      <w:r>
        <w:rPr>
          <w:rFonts w:eastAsia="Calibri" w:cs="Times New Roman"/>
          <w:szCs w:val="18"/>
        </w:rPr>
        <w:t xml:space="preserve">o w trybie przetargu nieograniczonego, pn. </w:t>
      </w:r>
      <w:r w:rsidR="00341A5C" w:rsidRPr="00341A5C">
        <w:rPr>
          <w:rFonts w:eastAsia="Calibri" w:cs="Times New Roman"/>
          <w:b/>
          <w:bCs/>
          <w:szCs w:val="18"/>
        </w:rPr>
        <w:t xml:space="preserve">Zakup i montaż dwóch transformatorów 110/15 </w:t>
      </w:r>
      <w:proofErr w:type="spellStart"/>
      <w:r w:rsidR="00341A5C" w:rsidRPr="00341A5C">
        <w:rPr>
          <w:rFonts w:eastAsia="Calibri" w:cs="Times New Roman"/>
          <w:b/>
          <w:bCs/>
          <w:szCs w:val="18"/>
        </w:rPr>
        <w:t>kV</w:t>
      </w:r>
      <w:proofErr w:type="spellEnd"/>
      <w:r w:rsidR="00341A5C" w:rsidRPr="00341A5C">
        <w:rPr>
          <w:rFonts w:eastAsia="Calibri" w:cs="Times New Roman"/>
          <w:b/>
          <w:bCs/>
          <w:szCs w:val="18"/>
        </w:rPr>
        <w:t xml:space="preserve"> o mocy docelowej 40 MVA dla stacji 110/15 </w:t>
      </w:r>
      <w:proofErr w:type="spellStart"/>
      <w:r w:rsidR="00341A5C" w:rsidRPr="00341A5C">
        <w:rPr>
          <w:rFonts w:eastAsia="Calibri" w:cs="Times New Roman"/>
          <w:b/>
          <w:bCs/>
          <w:szCs w:val="18"/>
        </w:rPr>
        <w:t>kV</w:t>
      </w:r>
      <w:proofErr w:type="spellEnd"/>
      <w:r w:rsidR="00341A5C" w:rsidRPr="00341A5C">
        <w:rPr>
          <w:rFonts w:eastAsia="Calibri" w:cs="Times New Roman"/>
          <w:b/>
          <w:bCs/>
          <w:szCs w:val="18"/>
        </w:rPr>
        <w:t xml:space="preserve"> Tomaszów 1</w:t>
      </w:r>
      <w:r w:rsidR="00341A5C">
        <w:rPr>
          <w:rFonts w:eastAsia="Calibri" w:cs="Times New Roman"/>
          <w:szCs w:val="18"/>
        </w:rPr>
        <w:t xml:space="preserve"> </w:t>
      </w:r>
      <w:r w:rsidRPr="00341A5C">
        <w:rPr>
          <w:rFonts w:eastAsia="Calibri" w:cs="Times New Roman"/>
          <w:b/>
          <w:szCs w:val="18"/>
        </w:rPr>
        <w:t>nr</w:t>
      </w:r>
      <w:r w:rsidRPr="00341A5C">
        <w:rPr>
          <w:rFonts w:asciiTheme="majorHAnsi" w:hAnsiTheme="majorHAnsi"/>
          <w:b/>
          <w:color w:val="000000" w:themeColor="text1"/>
          <w:sz w:val="14"/>
          <w:szCs w:val="18"/>
        </w:rPr>
        <w:t xml:space="preserve"> </w:t>
      </w:r>
      <w:r w:rsidRPr="00341A5C">
        <w:rPr>
          <w:rFonts w:eastAsia="Calibri" w:cs="Times New Roman"/>
          <w:b/>
          <w:szCs w:val="18"/>
        </w:rPr>
        <w:t>POST/DYS/OLD/GZ/03206/2025</w:t>
      </w:r>
      <w:r w:rsidRPr="00CE0141">
        <w:rPr>
          <w:rFonts w:eastAsia="Calibri" w:cs="Times New Roman"/>
          <w:b/>
          <w:szCs w:val="18"/>
        </w:rPr>
        <w:t>.</w:t>
      </w:r>
    </w:p>
    <w:p w14:paraId="6BB271B8" w14:textId="75F374E0" w:rsidR="009B2802" w:rsidRPr="009B2802" w:rsidRDefault="009B2802" w:rsidP="009B2802">
      <w:pPr>
        <w:spacing w:after="160" w:line="259" w:lineRule="auto"/>
        <w:rPr>
          <w:rFonts w:eastAsia="Calibri" w:cs="Times New Roman"/>
          <w:b/>
          <w:szCs w:val="18"/>
        </w:rPr>
      </w:pPr>
      <w:r w:rsidRPr="009B2802">
        <w:rPr>
          <w:rFonts w:eastAsia="Calibri" w:cs="Times New Roman"/>
          <w:b/>
          <w:szCs w:val="18"/>
        </w:rPr>
        <w:t xml:space="preserve">Oświadczenie o kraju pochodzenia produktów/poszczególnych komponentów zaoferowanych </w:t>
      </w:r>
      <w:r>
        <w:rPr>
          <w:rFonts w:eastAsia="Calibri" w:cs="Times New Roman"/>
          <w:b/>
          <w:szCs w:val="18"/>
        </w:rPr>
        <w:t>transformatorów</w:t>
      </w:r>
      <w:r w:rsidRPr="009B2802">
        <w:rPr>
          <w:rFonts w:eastAsia="Calibri" w:cs="Times New Roman"/>
          <w:b/>
          <w:szCs w:val="18"/>
        </w:rPr>
        <w:t>:</w:t>
      </w:r>
    </w:p>
    <w:p w14:paraId="31446A78" w14:textId="74B931C4" w:rsidR="009B2802" w:rsidRPr="00CE0141" w:rsidRDefault="009B2802" w:rsidP="00CE0141">
      <w:pPr>
        <w:spacing w:after="160" w:line="259" w:lineRule="auto"/>
        <w:rPr>
          <w:rFonts w:eastAsia="Calibri" w:cs="Times New Roman"/>
          <w:szCs w:val="18"/>
        </w:rPr>
      </w:pPr>
      <w:r w:rsidRPr="009B2802">
        <w:rPr>
          <w:rFonts w:eastAsia="Calibri" w:cs="Times New Roman"/>
          <w:b/>
          <w:szCs w:val="18"/>
        </w:rPr>
        <w:t>Składając Ofertę w ww. postępowaniu oświadczam, że:</w:t>
      </w:r>
    </w:p>
    <w:p w14:paraId="482E2E20" w14:textId="30519C07" w:rsidR="009B2802" w:rsidRDefault="00CE0141" w:rsidP="009B2802">
      <w:pPr>
        <w:pStyle w:val="Akapitzlist"/>
        <w:numPr>
          <w:ilvl w:val="0"/>
          <w:numId w:val="22"/>
        </w:numPr>
        <w:spacing w:after="160" w:line="259" w:lineRule="auto"/>
        <w:jc w:val="both"/>
        <w:rPr>
          <w:rFonts w:ascii="Verdana" w:eastAsia="Calibri" w:hAnsi="Verdana" w:cs="Times New Roman"/>
          <w:szCs w:val="18"/>
        </w:rPr>
      </w:pPr>
      <w:r w:rsidRPr="009B2802">
        <w:rPr>
          <w:rFonts w:ascii="Verdana" w:eastAsia="Calibri" w:hAnsi="Verdana" w:cs="Times New Roman"/>
          <w:szCs w:val="18"/>
        </w:rPr>
        <w:t xml:space="preserve">udział produktów, w tym oprogramowania wykorzystywanego w wyposażeniu sieci telekomunikacyjnych pochodzących z państw członkowskich Unii Europejskiej, państw z którymi Unia Europejska zawarła umowy o równym traktowaniu przedsiębiorców lub państw wobec których na mocy decyzji Rady stosuje się przepisy dyrektywy 2014/25/UE  przekracza 50%. </w:t>
      </w:r>
    </w:p>
    <w:p w14:paraId="76EA4EF1" w14:textId="77777777" w:rsidR="009B2802" w:rsidRPr="009B2802" w:rsidRDefault="009B2802" w:rsidP="009B2802">
      <w:pPr>
        <w:pStyle w:val="Akapitzlist"/>
        <w:numPr>
          <w:ilvl w:val="0"/>
          <w:numId w:val="22"/>
        </w:numPr>
        <w:spacing w:after="160" w:line="259" w:lineRule="auto"/>
        <w:jc w:val="both"/>
        <w:rPr>
          <w:rFonts w:ascii="Verdana" w:eastAsia="Calibri" w:hAnsi="Verdana" w:cs="Times New Roman"/>
          <w:szCs w:val="18"/>
        </w:rPr>
      </w:pPr>
      <w:r w:rsidRPr="009B2802">
        <w:rPr>
          <w:rFonts w:ascii="Verdana" w:eastAsia="Calibri" w:hAnsi="Verdana" w:cs="Times New Roman"/>
          <w:szCs w:val="18"/>
        </w:rPr>
        <w:t>na potwierdzenie powyższego oświadczenia poniżej zamieszczamy informacje na temat komponentów,</w:t>
      </w:r>
    </w:p>
    <w:p w14:paraId="15E36213" w14:textId="77777777" w:rsidR="009B2802" w:rsidRPr="009B2802" w:rsidRDefault="009B2802" w:rsidP="009B2802">
      <w:pPr>
        <w:pStyle w:val="Akapitzlist"/>
        <w:spacing w:after="160" w:line="259" w:lineRule="auto"/>
        <w:jc w:val="both"/>
        <w:rPr>
          <w:rFonts w:ascii="Verdana" w:eastAsia="Calibri" w:hAnsi="Verdana" w:cs="Times New Roman"/>
          <w:szCs w:val="18"/>
        </w:rPr>
      </w:pPr>
      <w:r w:rsidRPr="009B2802">
        <w:rPr>
          <w:rFonts w:ascii="Verdana" w:eastAsia="Calibri" w:hAnsi="Verdana" w:cs="Times New Roman"/>
          <w:szCs w:val="18"/>
        </w:rPr>
        <w:t>z których złożone są poszczególne urządzenia wraz z informacjami na temat ich pochodzenia:</w:t>
      </w:r>
    </w:p>
    <w:p w14:paraId="22B0ACC6" w14:textId="77777777" w:rsidR="009B2802" w:rsidRPr="009B2802" w:rsidRDefault="009B2802" w:rsidP="009B2802">
      <w:pPr>
        <w:spacing w:before="240" w:after="240" w:line="259" w:lineRule="auto"/>
        <w:jc w:val="center"/>
        <w:rPr>
          <w:rFonts w:eastAsia="Calibri" w:cs="Times New Roman"/>
          <w:b/>
          <w:szCs w:val="18"/>
        </w:rPr>
      </w:pPr>
      <w:r w:rsidRPr="009B2802">
        <w:rPr>
          <w:rFonts w:ascii="Calibri" w:eastAsia="Times New Roman" w:hAnsi="Calibri" w:cs="Calibri"/>
          <w:b/>
          <w:sz w:val="22"/>
          <w:lang w:eastAsia="pl-PL"/>
        </w:rPr>
        <w:t xml:space="preserve">Dostawa 2 transformatorów 110/15kV o mocy 40MVA na potrzeby modernizowanej stacji 110/15kV Tomaszów 1. </w:t>
      </w:r>
    </w:p>
    <w:tbl>
      <w:tblPr>
        <w:tblStyle w:val="Tabela-Siatka5"/>
        <w:tblW w:w="5000" w:type="pct"/>
        <w:jc w:val="center"/>
        <w:tblLook w:val="04A0" w:firstRow="1" w:lastRow="0" w:firstColumn="1" w:lastColumn="0" w:noHBand="0" w:noVBand="1"/>
      </w:tblPr>
      <w:tblGrid>
        <w:gridCol w:w="2592"/>
        <w:gridCol w:w="1257"/>
        <w:gridCol w:w="1163"/>
        <w:gridCol w:w="1298"/>
        <w:gridCol w:w="1245"/>
        <w:gridCol w:w="2355"/>
      </w:tblGrid>
      <w:tr w:rsidR="009B2802" w:rsidRPr="009B2802" w14:paraId="2E91BDC8" w14:textId="77777777" w:rsidTr="00A83E00">
        <w:trPr>
          <w:trHeight w:val="483"/>
          <w:jc w:val="center"/>
        </w:trPr>
        <w:tc>
          <w:tcPr>
            <w:tcW w:w="1308" w:type="pct"/>
            <w:shd w:val="clear" w:color="auto" w:fill="092D74" w:themeFill="text2"/>
            <w:vAlign w:val="center"/>
            <w:hideMark/>
          </w:tcPr>
          <w:p w14:paraId="4E930E12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Nazwa komponentu produktu</w:t>
            </w:r>
          </w:p>
        </w:tc>
        <w:tc>
          <w:tcPr>
            <w:tcW w:w="634" w:type="pct"/>
            <w:shd w:val="clear" w:color="auto" w:fill="092D74" w:themeFill="text2"/>
            <w:vAlign w:val="center"/>
            <w:hideMark/>
          </w:tcPr>
          <w:p w14:paraId="7A8FA7C5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Kraj (terytorium) pochodzenia komponentu*</w:t>
            </w:r>
          </w:p>
        </w:tc>
        <w:tc>
          <w:tcPr>
            <w:tcW w:w="587" w:type="pct"/>
            <w:shd w:val="clear" w:color="auto" w:fill="092D74" w:themeFill="text2"/>
            <w:vAlign w:val="center"/>
            <w:hideMark/>
          </w:tcPr>
          <w:p w14:paraId="74242B99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Czy jakikolwiek etap produkcji komponentu odbywał się poza krajem (terytorium) pochodzenia wskazanym            w kolumnie 2</w:t>
            </w:r>
          </w:p>
        </w:tc>
        <w:tc>
          <w:tcPr>
            <w:tcW w:w="655" w:type="pct"/>
            <w:shd w:val="clear" w:color="auto" w:fill="092D74" w:themeFill="text2"/>
            <w:vAlign w:val="center"/>
            <w:hideMark/>
          </w:tcPr>
          <w:p w14:paraId="2AA97050" w14:textId="472EC5B2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Zakres przetworzenia</w:t>
            </w: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br/>
              <w:t>lub obróbki komponentu dokonane w kraju (terytorium) pochodzenia k</w:t>
            </w:r>
            <w:r w:rsidR="00B7727A">
              <w:rPr>
                <w:rFonts w:asciiTheme="minorHAnsi" w:hAnsiTheme="minorHAnsi"/>
                <w:b/>
                <w:bCs/>
                <w:sz w:val="12"/>
                <w:szCs w:val="16"/>
              </w:rPr>
              <w:t>omponentu wskazanym</w:t>
            </w:r>
            <w:r w:rsidR="00B7727A">
              <w:rPr>
                <w:rFonts w:asciiTheme="minorHAnsi" w:hAnsiTheme="minorHAnsi"/>
                <w:b/>
                <w:bCs/>
                <w:sz w:val="12"/>
                <w:szCs w:val="16"/>
              </w:rPr>
              <w:br/>
              <w:t>w kolumnie 3***</w:t>
            </w:r>
          </w:p>
        </w:tc>
        <w:tc>
          <w:tcPr>
            <w:tcW w:w="628" w:type="pct"/>
            <w:shd w:val="clear" w:color="auto" w:fill="092D74" w:themeFill="text2"/>
            <w:vAlign w:val="center"/>
            <w:hideMark/>
          </w:tcPr>
          <w:p w14:paraId="41467DE9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Udział procentowy komponentu</w:t>
            </w: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br/>
              <w:t xml:space="preserve">w wartości transformatora           </w:t>
            </w:r>
          </w:p>
          <w:p w14:paraId="48592D1C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</w:p>
        </w:tc>
        <w:tc>
          <w:tcPr>
            <w:tcW w:w="1188" w:type="pct"/>
            <w:shd w:val="clear" w:color="auto" w:fill="092D74" w:themeFill="text2"/>
            <w:vAlign w:val="center"/>
          </w:tcPr>
          <w:p w14:paraId="2024605E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color w:val="FFFFFF" w:themeColor="background1"/>
                <w:sz w:val="12"/>
                <w:szCs w:val="16"/>
              </w:rPr>
              <w:t>Łączny udział procentowy elementów produktu  pochodzących z UE lub państw,</w:t>
            </w:r>
            <w:r w:rsidRPr="009B2802">
              <w:rPr>
                <w:rFonts w:asciiTheme="minorHAnsi" w:hAnsiTheme="minorHAnsi"/>
                <w:b/>
                <w:bCs/>
                <w:color w:val="FFFFFF" w:themeColor="background1"/>
                <w:sz w:val="12"/>
                <w:szCs w:val="16"/>
              </w:rPr>
              <w:br/>
              <w:t xml:space="preserve">z którymi UE zawarła umowę </w:t>
            </w:r>
            <w:r w:rsidRPr="009B2802">
              <w:rPr>
                <w:rFonts w:asciiTheme="minorHAnsi" w:hAnsiTheme="minorHAnsi"/>
                <w:b/>
                <w:bCs/>
                <w:color w:val="FFFFFF" w:themeColor="background1"/>
                <w:sz w:val="12"/>
                <w:szCs w:val="16"/>
              </w:rPr>
              <w:br/>
              <w:t>o równym traktowaniu przedsiębiorców</w:t>
            </w:r>
            <w:r w:rsidRPr="009B2802">
              <w:rPr>
                <w:rFonts w:asciiTheme="minorHAnsi" w:hAnsiTheme="minorHAnsi"/>
                <w:b/>
                <w:bCs/>
                <w:color w:val="FFFFFF" w:themeColor="background1"/>
                <w:sz w:val="12"/>
                <w:szCs w:val="16"/>
              </w:rPr>
              <w:br/>
              <w:t>lub państw, wobec których na mocy decyzji Rady stosuje się przepisy dyrektywy 2014/25/UE</w:t>
            </w:r>
            <w:r w:rsidRPr="009B2802" w:rsidDel="00503EE6">
              <w:rPr>
                <w:rFonts w:asciiTheme="minorHAnsi" w:hAnsiTheme="minorHAnsi"/>
                <w:b/>
                <w:bCs/>
                <w:color w:val="FFFFFF" w:themeColor="background1"/>
                <w:sz w:val="12"/>
                <w:szCs w:val="16"/>
              </w:rPr>
              <w:t xml:space="preserve"> </w:t>
            </w:r>
            <w:r w:rsidRPr="009B2802">
              <w:rPr>
                <w:rFonts w:asciiTheme="minorHAnsi" w:hAnsiTheme="minorHAnsi"/>
                <w:b/>
                <w:bCs/>
                <w:color w:val="FFFFFF" w:themeColor="background1"/>
                <w:sz w:val="12"/>
                <w:szCs w:val="16"/>
              </w:rPr>
              <w:t>(należy obliczyć jako sumę wartości procentowych  z wierszy kolumny 5, dla których</w:t>
            </w:r>
            <w:r w:rsidRPr="009B2802">
              <w:rPr>
                <w:rFonts w:asciiTheme="minorHAnsi" w:hAnsiTheme="minorHAnsi"/>
                <w:b/>
                <w:bCs/>
                <w:color w:val="FFFFFF" w:themeColor="background1"/>
                <w:sz w:val="12"/>
                <w:szCs w:val="16"/>
              </w:rPr>
              <w:br/>
              <w:t>w kolumnie 2 wskazano jako kraj pochodzenia państwo</w:t>
            </w:r>
            <w:r w:rsidRPr="009B2802">
              <w:rPr>
                <w:rFonts w:asciiTheme="minorHAnsi" w:hAnsiTheme="minorHAnsi"/>
                <w:b/>
                <w:bCs/>
                <w:color w:val="FFFFFF" w:themeColor="background1"/>
                <w:sz w:val="12"/>
                <w:szCs w:val="16"/>
              </w:rPr>
              <w:br/>
              <w:t xml:space="preserve">z UE lub państw, z którymi UE zawarła umowę o równym traktowaniu przedsiębiorców lub państw, wobec których na mocy decyzji Rady stosuje się </w:t>
            </w:r>
            <w:r w:rsidRPr="009B2802">
              <w:rPr>
                <w:rFonts w:asciiTheme="minorHAnsi" w:hAnsiTheme="minorHAnsi"/>
                <w:b/>
                <w:bCs/>
                <w:color w:val="FFFFFF" w:themeColor="background1"/>
                <w:sz w:val="12"/>
                <w:szCs w:val="16"/>
              </w:rPr>
              <w:lastRenderedPageBreak/>
              <w:t>przepisy dyrektywy 2014/25/UE)</w:t>
            </w:r>
          </w:p>
        </w:tc>
      </w:tr>
      <w:tr w:rsidR="009B2802" w:rsidRPr="009B2802" w14:paraId="72007C1F" w14:textId="77777777" w:rsidTr="00A83E00">
        <w:trPr>
          <w:trHeight w:val="272"/>
          <w:jc w:val="center"/>
        </w:trPr>
        <w:tc>
          <w:tcPr>
            <w:tcW w:w="1308" w:type="pct"/>
            <w:shd w:val="clear" w:color="auto" w:fill="B2CF65" w:themeFill="accent1"/>
            <w:vAlign w:val="center"/>
            <w:hideMark/>
          </w:tcPr>
          <w:p w14:paraId="282A6E03" w14:textId="77777777" w:rsidR="009B2802" w:rsidRPr="009B2802" w:rsidRDefault="009B2802" w:rsidP="009B2802">
            <w:pPr>
              <w:spacing w:before="40" w:after="4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lastRenderedPageBreak/>
              <w:t>1</w:t>
            </w:r>
          </w:p>
        </w:tc>
        <w:tc>
          <w:tcPr>
            <w:tcW w:w="634" w:type="pct"/>
            <w:shd w:val="clear" w:color="auto" w:fill="B2CF65" w:themeFill="accent1"/>
            <w:vAlign w:val="center"/>
            <w:hideMark/>
          </w:tcPr>
          <w:p w14:paraId="7ECB2015" w14:textId="77777777" w:rsidR="009B2802" w:rsidRPr="009B2802" w:rsidRDefault="009B2802" w:rsidP="009B2802">
            <w:pPr>
              <w:spacing w:before="40" w:after="4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2</w:t>
            </w:r>
          </w:p>
        </w:tc>
        <w:tc>
          <w:tcPr>
            <w:tcW w:w="587" w:type="pct"/>
            <w:shd w:val="clear" w:color="auto" w:fill="B2CF65" w:themeFill="accent1"/>
            <w:vAlign w:val="center"/>
            <w:hideMark/>
          </w:tcPr>
          <w:p w14:paraId="519AD245" w14:textId="77777777" w:rsidR="009B2802" w:rsidRPr="009B2802" w:rsidRDefault="009B2802" w:rsidP="009B2802">
            <w:pPr>
              <w:spacing w:before="40" w:after="4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3</w:t>
            </w:r>
          </w:p>
        </w:tc>
        <w:tc>
          <w:tcPr>
            <w:tcW w:w="655" w:type="pct"/>
            <w:shd w:val="clear" w:color="auto" w:fill="B2CF65" w:themeFill="accent1"/>
            <w:vAlign w:val="center"/>
            <w:hideMark/>
          </w:tcPr>
          <w:p w14:paraId="3B8178A8" w14:textId="77777777" w:rsidR="009B2802" w:rsidRPr="009B2802" w:rsidRDefault="009B2802" w:rsidP="009B2802">
            <w:pPr>
              <w:spacing w:before="40" w:after="4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4</w:t>
            </w:r>
          </w:p>
        </w:tc>
        <w:tc>
          <w:tcPr>
            <w:tcW w:w="628" w:type="pct"/>
            <w:shd w:val="clear" w:color="auto" w:fill="B2CF65" w:themeFill="accent1"/>
            <w:noWrap/>
            <w:vAlign w:val="center"/>
            <w:hideMark/>
          </w:tcPr>
          <w:p w14:paraId="70FEABD5" w14:textId="77777777" w:rsidR="009B2802" w:rsidRPr="009B2802" w:rsidRDefault="009B2802" w:rsidP="009B2802">
            <w:pPr>
              <w:spacing w:before="40" w:after="4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5</w:t>
            </w:r>
          </w:p>
        </w:tc>
        <w:tc>
          <w:tcPr>
            <w:tcW w:w="1188" w:type="pct"/>
            <w:shd w:val="clear" w:color="auto" w:fill="B2CF65" w:themeFill="accent1"/>
            <w:vAlign w:val="center"/>
          </w:tcPr>
          <w:p w14:paraId="7512EC4F" w14:textId="77777777" w:rsidR="009B2802" w:rsidRPr="009B2802" w:rsidRDefault="009B2802" w:rsidP="009B2802">
            <w:pPr>
              <w:spacing w:before="40" w:after="40" w:line="259" w:lineRule="auto"/>
              <w:jc w:val="center"/>
              <w:rPr>
                <w:rFonts w:asciiTheme="minorHAnsi" w:hAnsiTheme="minorHAnsi"/>
                <w:b/>
                <w:bCs/>
                <w:sz w:val="12"/>
                <w:szCs w:val="16"/>
              </w:rPr>
            </w:pPr>
            <w:r w:rsidRPr="009B2802">
              <w:rPr>
                <w:rFonts w:asciiTheme="minorHAnsi" w:hAnsiTheme="minorHAnsi"/>
                <w:b/>
                <w:bCs/>
                <w:sz w:val="12"/>
                <w:szCs w:val="16"/>
              </w:rPr>
              <w:t>6</w:t>
            </w:r>
          </w:p>
        </w:tc>
      </w:tr>
      <w:tr w:rsidR="009B2802" w:rsidRPr="009B2802" w14:paraId="04EFA70E" w14:textId="77777777" w:rsidTr="00A83E00">
        <w:trPr>
          <w:trHeight w:val="480"/>
          <w:jc w:val="center"/>
        </w:trPr>
        <w:tc>
          <w:tcPr>
            <w:tcW w:w="1308" w:type="pct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9B2802" w:rsidRPr="009B2802" w14:paraId="6E7A906D" w14:textId="77777777" w:rsidTr="00A83E00">
              <w:trPr>
                <w:trHeight w:val="397"/>
              </w:trPr>
              <w:tc>
                <w:tcPr>
                  <w:tcW w:w="0" w:type="auto"/>
                </w:tcPr>
                <w:p w14:paraId="17A6A0FC" w14:textId="77777777" w:rsidR="009B2802" w:rsidRPr="009B2802" w:rsidRDefault="009B2802" w:rsidP="009B2802">
                  <w:pPr>
                    <w:spacing w:before="160" w:after="160" w:line="259" w:lineRule="auto"/>
                    <w:rPr>
                      <w:rFonts w:eastAsia="Calibri" w:cs="Times New Roman"/>
                      <w:sz w:val="12"/>
                      <w:szCs w:val="16"/>
                      <w:lang w:eastAsia="pl-PL"/>
                    </w:rPr>
                  </w:pPr>
                </w:p>
              </w:tc>
            </w:tr>
          </w:tbl>
          <w:p w14:paraId="6F039E3B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  <w:proofErr w:type="spellStart"/>
            <w:r w:rsidRPr="009B2802">
              <w:rPr>
                <w:rFonts w:asciiTheme="minorHAnsi" w:hAnsiTheme="minorHAnsi"/>
                <w:sz w:val="12"/>
                <w:szCs w:val="16"/>
              </w:rPr>
              <w:t>Podobciążeniowy</w:t>
            </w:r>
            <w:proofErr w:type="spellEnd"/>
            <w:r w:rsidRPr="009B2802">
              <w:rPr>
                <w:rFonts w:asciiTheme="minorHAnsi" w:hAnsiTheme="minorHAnsi"/>
                <w:sz w:val="12"/>
                <w:szCs w:val="16"/>
              </w:rPr>
              <w:t xml:space="preserve"> przełącznik zaczepów wraz z napędem</w:t>
            </w:r>
          </w:p>
        </w:tc>
        <w:tc>
          <w:tcPr>
            <w:tcW w:w="634" w:type="pct"/>
            <w:noWrap/>
            <w:vAlign w:val="center"/>
            <w:hideMark/>
          </w:tcPr>
          <w:p w14:paraId="78DA285A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</w:p>
        </w:tc>
        <w:tc>
          <w:tcPr>
            <w:tcW w:w="587" w:type="pct"/>
            <w:noWrap/>
            <w:vAlign w:val="center"/>
            <w:hideMark/>
          </w:tcPr>
          <w:p w14:paraId="644B0CB0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tak/nie**</w:t>
            </w:r>
          </w:p>
        </w:tc>
        <w:tc>
          <w:tcPr>
            <w:tcW w:w="655" w:type="pct"/>
            <w:vAlign w:val="center"/>
            <w:hideMark/>
          </w:tcPr>
          <w:p w14:paraId="2E32AFDA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</w:p>
        </w:tc>
        <w:tc>
          <w:tcPr>
            <w:tcW w:w="628" w:type="pct"/>
            <w:noWrap/>
            <w:vAlign w:val="center"/>
            <w:hideMark/>
          </w:tcPr>
          <w:p w14:paraId="699117F5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</w:p>
        </w:tc>
        <w:tc>
          <w:tcPr>
            <w:tcW w:w="1188" w:type="pct"/>
            <w:vMerge w:val="restart"/>
          </w:tcPr>
          <w:p w14:paraId="7E510311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</w:p>
        </w:tc>
      </w:tr>
      <w:tr w:rsidR="009B2802" w:rsidRPr="009B2802" w14:paraId="36521F1D" w14:textId="77777777" w:rsidTr="00A83E00">
        <w:trPr>
          <w:trHeight w:val="480"/>
          <w:jc w:val="center"/>
        </w:trPr>
        <w:tc>
          <w:tcPr>
            <w:tcW w:w="1308" w:type="pct"/>
            <w:vAlign w:val="center"/>
          </w:tcPr>
          <w:p w14:paraId="78E86B92" w14:textId="77777777" w:rsidR="009B2802" w:rsidRPr="009B2802" w:rsidRDefault="009B2802" w:rsidP="009B2802">
            <w:pPr>
              <w:spacing w:before="160" w:after="160" w:line="259" w:lineRule="auto"/>
              <w:rPr>
                <w:rFonts w:asciiTheme="minorHAnsi" w:hAnsiTheme="minorHAnsi"/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 xml:space="preserve">Uzwojenia </w:t>
            </w:r>
          </w:p>
        </w:tc>
        <w:tc>
          <w:tcPr>
            <w:tcW w:w="634" w:type="pct"/>
            <w:noWrap/>
            <w:vAlign w:val="center"/>
          </w:tcPr>
          <w:p w14:paraId="0773B5AE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587" w:type="pct"/>
            <w:noWrap/>
            <w:vAlign w:val="center"/>
          </w:tcPr>
          <w:p w14:paraId="7D0D8E94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tak/nie**</w:t>
            </w:r>
          </w:p>
        </w:tc>
        <w:tc>
          <w:tcPr>
            <w:tcW w:w="655" w:type="pct"/>
            <w:vAlign w:val="center"/>
          </w:tcPr>
          <w:p w14:paraId="0C23B0B7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628" w:type="pct"/>
            <w:noWrap/>
            <w:vAlign w:val="center"/>
          </w:tcPr>
          <w:p w14:paraId="503F1427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1188" w:type="pct"/>
            <w:vMerge/>
          </w:tcPr>
          <w:p w14:paraId="1EF4F470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</w:tr>
      <w:tr w:rsidR="009B2802" w:rsidRPr="009B2802" w14:paraId="5ABE51ED" w14:textId="77777777" w:rsidTr="00A83E00">
        <w:trPr>
          <w:trHeight w:val="480"/>
          <w:jc w:val="center"/>
        </w:trPr>
        <w:tc>
          <w:tcPr>
            <w:tcW w:w="1308" w:type="pct"/>
            <w:vAlign w:val="center"/>
          </w:tcPr>
          <w:p w14:paraId="07807EBE" w14:textId="77777777" w:rsidR="009B2802" w:rsidRPr="009B2802" w:rsidRDefault="009B2802" w:rsidP="009B2802">
            <w:pPr>
              <w:spacing w:before="160" w:after="160" w:line="259" w:lineRule="auto"/>
              <w:rPr>
                <w:rFonts w:asciiTheme="minorHAnsi" w:hAnsiTheme="minorHAnsi"/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Rdzeń</w:t>
            </w:r>
          </w:p>
        </w:tc>
        <w:tc>
          <w:tcPr>
            <w:tcW w:w="634" w:type="pct"/>
            <w:noWrap/>
            <w:vAlign w:val="center"/>
          </w:tcPr>
          <w:p w14:paraId="678B0561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587" w:type="pct"/>
            <w:noWrap/>
            <w:vAlign w:val="center"/>
          </w:tcPr>
          <w:p w14:paraId="5B5A4995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tak/nie**</w:t>
            </w:r>
          </w:p>
        </w:tc>
        <w:tc>
          <w:tcPr>
            <w:tcW w:w="655" w:type="pct"/>
            <w:vAlign w:val="center"/>
          </w:tcPr>
          <w:p w14:paraId="31C5AFD2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628" w:type="pct"/>
            <w:noWrap/>
            <w:vAlign w:val="center"/>
          </w:tcPr>
          <w:p w14:paraId="07F6EB33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1188" w:type="pct"/>
            <w:vMerge/>
          </w:tcPr>
          <w:p w14:paraId="26A9CA30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</w:tr>
      <w:tr w:rsidR="009B2802" w:rsidRPr="009B2802" w14:paraId="0C6E804D" w14:textId="77777777" w:rsidTr="00A83E00">
        <w:trPr>
          <w:trHeight w:val="480"/>
          <w:jc w:val="center"/>
        </w:trPr>
        <w:tc>
          <w:tcPr>
            <w:tcW w:w="1308" w:type="pct"/>
            <w:vAlign w:val="center"/>
          </w:tcPr>
          <w:p w14:paraId="5259DDAB" w14:textId="77777777" w:rsidR="009B2802" w:rsidRPr="009B2802" w:rsidRDefault="009B2802" w:rsidP="009B2802">
            <w:pPr>
              <w:spacing w:before="160" w:after="160" w:line="259" w:lineRule="auto"/>
              <w:rPr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Osprzęt (przepusty, termometry, szafa sterownicza z wyposażeniem, zawory bezpieczeństwa, przekaźniki Buchholza, radiatory, monitoring)</w:t>
            </w:r>
          </w:p>
        </w:tc>
        <w:tc>
          <w:tcPr>
            <w:tcW w:w="634" w:type="pct"/>
            <w:noWrap/>
            <w:vAlign w:val="center"/>
          </w:tcPr>
          <w:p w14:paraId="5C99CA87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587" w:type="pct"/>
            <w:noWrap/>
            <w:vAlign w:val="center"/>
          </w:tcPr>
          <w:p w14:paraId="12FB7BFB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tak/nie**</w:t>
            </w:r>
          </w:p>
        </w:tc>
        <w:tc>
          <w:tcPr>
            <w:tcW w:w="655" w:type="pct"/>
            <w:vAlign w:val="center"/>
          </w:tcPr>
          <w:p w14:paraId="54D004FA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628" w:type="pct"/>
            <w:noWrap/>
            <w:vAlign w:val="center"/>
          </w:tcPr>
          <w:p w14:paraId="4B5BDEE2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1188" w:type="pct"/>
            <w:vMerge/>
          </w:tcPr>
          <w:p w14:paraId="1E826BCE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</w:tr>
      <w:tr w:rsidR="009B2802" w:rsidRPr="009B2802" w14:paraId="10364198" w14:textId="77777777" w:rsidTr="00A83E00">
        <w:trPr>
          <w:trHeight w:val="480"/>
          <w:jc w:val="center"/>
        </w:trPr>
        <w:tc>
          <w:tcPr>
            <w:tcW w:w="1308" w:type="pct"/>
            <w:vAlign w:val="center"/>
          </w:tcPr>
          <w:p w14:paraId="063CC1DF" w14:textId="77777777" w:rsidR="009B2802" w:rsidRPr="009B2802" w:rsidRDefault="009B2802" w:rsidP="009B2802">
            <w:pPr>
              <w:spacing w:before="160" w:after="160" w:line="259" w:lineRule="auto"/>
              <w:rPr>
                <w:rFonts w:asciiTheme="minorHAnsi" w:hAnsiTheme="minorHAnsi"/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Olej</w:t>
            </w:r>
          </w:p>
        </w:tc>
        <w:tc>
          <w:tcPr>
            <w:tcW w:w="634" w:type="pct"/>
            <w:noWrap/>
            <w:vAlign w:val="center"/>
          </w:tcPr>
          <w:p w14:paraId="63E64ED1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587" w:type="pct"/>
            <w:noWrap/>
            <w:vAlign w:val="center"/>
          </w:tcPr>
          <w:p w14:paraId="156A9AB8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tak/nie**</w:t>
            </w:r>
          </w:p>
        </w:tc>
        <w:tc>
          <w:tcPr>
            <w:tcW w:w="655" w:type="pct"/>
            <w:vAlign w:val="center"/>
          </w:tcPr>
          <w:p w14:paraId="35BE42CF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628" w:type="pct"/>
            <w:noWrap/>
            <w:vAlign w:val="center"/>
          </w:tcPr>
          <w:p w14:paraId="5F15E15B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1188" w:type="pct"/>
            <w:vMerge/>
          </w:tcPr>
          <w:p w14:paraId="657337F3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</w:tr>
      <w:tr w:rsidR="009B2802" w:rsidRPr="009B2802" w14:paraId="5DF83099" w14:textId="77777777" w:rsidTr="00386E97">
        <w:trPr>
          <w:trHeight w:val="480"/>
          <w:jc w:val="center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F0F4E" w14:textId="7EF63F3B" w:rsidR="009B2802" w:rsidRPr="009B2802" w:rsidRDefault="009B2802" w:rsidP="009B2802">
            <w:pPr>
              <w:spacing w:before="160" w:after="160" w:line="259" w:lineRule="auto"/>
              <w:rPr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Komponenty pozostałe – określa Wykonawca</w:t>
            </w:r>
            <w:r w:rsidR="00FB2FCA">
              <w:rPr>
                <w:rFonts w:asciiTheme="minorHAnsi" w:hAnsiTheme="minorHAnsi"/>
                <w:sz w:val="12"/>
                <w:szCs w:val="16"/>
              </w:rPr>
              <w:t>***</w:t>
            </w:r>
            <w:r w:rsidR="00B7727A">
              <w:rPr>
                <w:rFonts w:asciiTheme="minorHAnsi" w:hAnsiTheme="minorHAnsi"/>
                <w:sz w:val="12"/>
                <w:szCs w:val="16"/>
              </w:rPr>
              <w:t>*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7AE7D3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1C3DE0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tak/nie**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7EAB5E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811728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  <w:tc>
          <w:tcPr>
            <w:tcW w:w="1188" w:type="pct"/>
            <w:vMerge/>
          </w:tcPr>
          <w:p w14:paraId="6662237C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sz w:val="12"/>
                <w:szCs w:val="16"/>
              </w:rPr>
            </w:pPr>
          </w:p>
        </w:tc>
      </w:tr>
      <w:tr w:rsidR="009B2802" w:rsidRPr="009B2802" w14:paraId="5D3DEE07" w14:textId="77777777" w:rsidTr="009B2802">
        <w:trPr>
          <w:trHeight w:val="300"/>
          <w:jc w:val="center"/>
        </w:trPr>
        <w:tc>
          <w:tcPr>
            <w:tcW w:w="13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D54A5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50979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91E08" w14:textId="77777777" w:rsidR="009B2802" w:rsidRPr="009B2802" w:rsidRDefault="009B2802" w:rsidP="009B2802">
            <w:pPr>
              <w:spacing w:before="160"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</w:p>
        </w:tc>
        <w:tc>
          <w:tcPr>
            <w:tcW w:w="65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E1DFCA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suma</w:t>
            </w:r>
          </w:p>
        </w:tc>
        <w:tc>
          <w:tcPr>
            <w:tcW w:w="628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31BC7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  <w:r w:rsidRPr="009B2802">
              <w:rPr>
                <w:rFonts w:asciiTheme="minorHAnsi" w:hAnsiTheme="minorHAnsi"/>
                <w:sz w:val="12"/>
                <w:szCs w:val="16"/>
              </w:rPr>
              <w:t>100%</w:t>
            </w:r>
          </w:p>
        </w:tc>
        <w:tc>
          <w:tcPr>
            <w:tcW w:w="118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5D8180" w14:textId="77777777" w:rsidR="009B2802" w:rsidRPr="009B2802" w:rsidRDefault="009B2802" w:rsidP="009B2802">
            <w:pPr>
              <w:spacing w:after="160" w:line="259" w:lineRule="auto"/>
              <w:jc w:val="center"/>
              <w:rPr>
                <w:rFonts w:asciiTheme="minorHAnsi" w:hAnsiTheme="minorHAnsi"/>
                <w:sz w:val="12"/>
                <w:szCs w:val="16"/>
              </w:rPr>
            </w:pPr>
          </w:p>
        </w:tc>
      </w:tr>
    </w:tbl>
    <w:p w14:paraId="6CDE3D4C" w14:textId="17442F35" w:rsidR="009B2802" w:rsidRPr="00CE0141" w:rsidRDefault="009B2802" w:rsidP="00CE0141">
      <w:pPr>
        <w:spacing w:after="160" w:line="259" w:lineRule="auto"/>
        <w:jc w:val="both"/>
        <w:rPr>
          <w:rFonts w:eastAsia="Calibri" w:cs="Times New Roman"/>
          <w:color w:val="FF0000"/>
          <w:sz w:val="14"/>
          <w:szCs w:val="14"/>
        </w:rPr>
      </w:pPr>
    </w:p>
    <w:p w14:paraId="160043A5" w14:textId="77777777" w:rsidR="00FB2FCA" w:rsidRPr="00FA2177" w:rsidRDefault="00FB2FCA" w:rsidP="00FB2FCA">
      <w:pPr>
        <w:spacing w:after="160" w:line="259" w:lineRule="auto"/>
        <w:jc w:val="both"/>
        <w:rPr>
          <w:rFonts w:eastAsia="Calibri" w:cs="Times New Roman"/>
          <w:sz w:val="14"/>
          <w:szCs w:val="14"/>
        </w:rPr>
      </w:pPr>
      <w:r w:rsidRPr="00FA2177">
        <w:rPr>
          <w:rFonts w:eastAsia="Calibri" w:cs="Times New Roman"/>
          <w:sz w:val="14"/>
          <w:szCs w:val="14"/>
        </w:rPr>
        <w:t xml:space="preserve">*  - kraj (terytorium), w którym komponent został wytworzony albo kraj (terytorium), w którym komponent został poddany ostatniemu istotnemu, ekonomicznie uzasadnionemu przetwarzaniu lub obróbce, w przedsiębiorstwie przystosowanym do tego celu, co spowodowało wytworzenie nowego produktu lub stanowiło istotny etap wytwarzania. Wpisane informacje powinny umożliwić Zamawiającemu weryfikację w zakresie określonym w art. 393 ust.1 pkt. 4 Ustawy </w:t>
      </w:r>
      <w:proofErr w:type="spellStart"/>
      <w:r w:rsidRPr="00FA2177">
        <w:rPr>
          <w:rFonts w:eastAsia="Calibri" w:cs="Times New Roman"/>
          <w:sz w:val="14"/>
          <w:szCs w:val="14"/>
        </w:rPr>
        <w:t>Pzp</w:t>
      </w:r>
      <w:proofErr w:type="spellEnd"/>
      <w:r w:rsidRPr="00FA2177">
        <w:rPr>
          <w:rFonts w:eastAsia="Calibri" w:cs="Times New Roman"/>
          <w:sz w:val="14"/>
          <w:szCs w:val="14"/>
        </w:rPr>
        <w:t>.</w:t>
      </w:r>
    </w:p>
    <w:p w14:paraId="7F9282C4" w14:textId="4C2A5A86" w:rsidR="00CE0141" w:rsidRPr="00FA2177" w:rsidRDefault="009B2802" w:rsidP="00CE0141">
      <w:pPr>
        <w:spacing w:after="160" w:line="259" w:lineRule="auto"/>
        <w:jc w:val="both"/>
        <w:rPr>
          <w:rFonts w:eastAsia="Calibri" w:cs="Times New Roman"/>
          <w:sz w:val="14"/>
          <w:szCs w:val="14"/>
          <w:u w:val="single"/>
        </w:rPr>
      </w:pPr>
      <w:r w:rsidRPr="00FA2177">
        <w:rPr>
          <w:rFonts w:eastAsia="Calibri" w:cs="Times New Roman"/>
          <w:sz w:val="14"/>
          <w:szCs w:val="14"/>
        </w:rPr>
        <w:t xml:space="preserve">** </w:t>
      </w:r>
      <w:r w:rsidR="00CE0141" w:rsidRPr="00FA2177">
        <w:rPr>
          <w:rFonts w:eastAsia="Calibri" w:cs="Times New Roman"/>
          <w:sz w:val="14"/>
          <w:szCs w:val="14"/>
        </w:rPr>
        <w:t xml:space="preserve">Jeżeli w danej komórce w kol. 3 wskazano „NIE”, odpowiedniej komórki w kol. 4 </w:t>
      </w:r>
      <w:r w:rsidR="00CE0141" w:rsidRPr="00FA2177">
        <w:rPr>
          <w:rFonts w:eastAsia="Calibri" w:cs="Times New Roman"/>
          <w:sz w:val="14"/>
          <w:szCs w:val="14"/>
          <w:u w:val="single"/>
        </w:rPr>
        <w:t>nie wypełnia się.</w:t>
      </w:r>
    </w:p>
    <w:p w14:paraId="4474DCFE" w14:textId="755B3182" w:rsidR="00FB2FCA" w:rsidRDefault="00FB2FCA" w:rsidP="00CE0141">
      <w:pPr>
        <w:spacing w:after="160" w:line="259" w:lineRule="auto"/>
        <w:jc w:val="both"/>
        <w:rPr>
          <w:rFonts w:eastAsia="Calibri" w:cs="Times New Roman"/>
          <w:sz w:val="14"/>
          <w:szCs w:val="14"/>
          <w:u w:val="single"/>
        </w:rPr>
      </w:pPr>
      <w:r w:rsidRPr="00FA2177">
        <w:rPr>
          <w:rFonts w:eastAsia="Calibri" w:cs="Times New Roman"/>
          <w:sz w:val="14"/>
          <w:szCs w:val="14"/>
          <w:u w:val="single"/>
        </w:rPr>
        <w:t>** - niewłaściwe skreślić</w:t>
      </w:r>
    </w:p>
    <w:p w14:paraId="04BB0CB4" w14:textId="6A4195C3" w:rsidR="00B7727A" w:rsidRPr="00B7727A" w:rsidRDefault="00B7727A" w:rsidP="00B7727A">
      <w:pPr>
        <w:spacing w:after="160" w:line="259" w:lineRule="auto"/>
        <w:jc w:val="both"/>
        <w:rPr>
          <w:rFonts w:eastAsia="Calibri" w:cs="Times New Roman"/>
          <w:sz w:val="14"/>
          <w:szCs w:val="14"/>
          <w:u w:val="single"/>
        </w:rPr>
      </w:pPr>
      <w:r w:rsidRPr="00B7727A">
        <w:rPr>
          <w:rFonts w:eastAsia="Calibri" w:cs="Times New Roman"/>
          <w:sz w:val="14"/>
          <w:szCs w:val="14"/>
          <w:u w:val="single"/>
        </w:rPr>
        <w:t>*</w:t>
      </w:r>
      <w:r>
        <w:rPr>
          <w:rFonts w:eastAsia="Calibri" w:cs="Times New Roman"/>
          <w:sz w:val="14"/>
          <w:szCs w:val="14"/>
          <w:u w:val="single"/>
        </w:rPr>
        <w:t>**</w:t>
      </w:r>
      <w:r w:rsidRPr="00B7727A">
        <w:rPr>
          <w:rFonts w:eastAsia="Calibri" w:cs="Times New Roman"/>
          <w:sz w:val="14"/>
          <w:szCs w:val="14"/>
          <w:u w:val="single"/>
        </w:rPr>
        <w:t xml:space="preserve"> Wypełnić wyłącznie w przypadku wskazania „TAK” w kolumnie 3. Jeżeli w danej komórce w kolumnie 3 wskazano „NIE”, odpowiedniej komórki w kolumnie 4 nie wypełnia się.</w:t>
      </w:r>
    </w:p>
    <w:p w14:paraId="04DE5090" w14:textId="77777777" w:rsidR="00B7727A" w:rsidRDefault="00FB2FCA" w:rsidP="00B7727A">
      <w:pPr>
        <w:spacing w:after="160" w:line="259" w:lineRule="auto"/>
        <w:jc w:val="both"/>
        <w:rPr>
          <w:rFonts w:eastAsia="Calibri" w:cs="Times New Roman"/>
          <w:sz w:val="14"/>
          <w:szCs w:val="14"/>
          <w:u w:val="single"/>
        </w:rPr>
      </w:pPr>
      <w:r w:rsidRPr="00FA2177">
        <w:rPr>
          <w:rFonts w:eastAsia="Calibri" w:cs="Times New Roman"/>
          <w:sz w:val="14"/>
          <w:szCs w:val="14"/>
          <w:u w:val="single"/>
        </w:rPr>
        <w:t>***</w:t>
      </w:r>
      <w:r w:rsidR="00B7727A">
        <w:rPr>
          <w:rFonts w:eastAsia="Calibri" w:cs="Times New Roman"/>
          <w:sz w:val="14"/>
          <w:szCs w:val="14"/>
          <w:u w:val="single"/>
        </w:rPr>
        <w:t>*</w:t>
      </w:r>
      <w:r w:rsidRPr="00FA2177">
        <w:rPr>
          <w:rFonts w:eastAsia="Calibri" w:cs="Times New Roman"/>
          <w:sz w:val="14"/>
          <w:szCs w:val="14"/>
          <w:u w:val="single"/>
        </w:rPr>
        <w:t>- określa Wykonawca, jeśli występują</w:t>
      </w:r>
      <w:r w:rsidR="00B7727A" w:rsidRPr="00B7727A">
        <w:rPr>
          <w:rFonts w:eastAsia="Calibri" w:cs="Times New Roman"/>
          <w:sz w:val="14"/>
          <w:szCs w:val="14"/>
          <w:u w:val="single"/>
        </w:rPr>
        <w:t xml:space="preserve"> </w:t>
      </w:r>
    </w:p>
    <w:p w14:paraId="53A6CFE9" w14:textId="0FBDC07F" w:rsidR="00FB2FCA" w:rsidRPr="00FA2177" w:rsidRDefault="00B7727A" w:rsidP="00FB2FCA">
      <w:pPr>
        <w:spacing w:after="160" w:line="259" w:lineRule="auto"/>
        <w:jc w:val="both"/>
        <w:rPr>
          <w:rFonts w:eastAsia="Calibri" w:cs="Times New Roman"/>
          <w:sz w:val="14"/>
          <w:szCs w:val="14"/>
          <w:u w:val="single"/>
        </w:rPr>
      </w:pPr>
      <w:r w:rsidRPr="00B7727A">
        <w:rPr>
          <w:rFonts w:eastAsia="Calibri" w:cs="Times New Roman"/>
          <w:sz w:val="14"/>
          <w:szCs w:val="14"/>
          <w:u w:val="single"/>
        </w:rPr>
        <w:t>UWAGA: Tabela może być modyfikowana wyłącznie poprzez dostosowanie liczby wierszy do liczby komponentów wymienianych przez wykonawcę.</w:t>
      </w:r>
    </w:p>
    <w:p w14:paraId="27198995" w14:textId="3D299F60" w:rsidR="00FB2FCA" w:rsidRPr="00FA2177" w:rsidRDefault="00FB2FCA" w:rsidP="00CE0141">
      <w:pPr>
        <w:spacing w:after="160" w:line="259" w:lineRule="auto"/>
        <w:jc w:val="both"/>
        <w:rPr>
          <w:rFonts w:eastAsia="Calibri" w:cs="Times New Roman"/>
          <w:sz w:val="14"/>
          <w:szCs w:val="14"/>
          <w:u w:val="single"/>
        </w:rPr>
      </w:pPr>
      <w:r w:rsidRPr="00FA2177">
        <w:rPr>
          <w:rFonts w:eastAsia="Calibri" w:cs="Times New Roman"/>
          <w:sz w:val="14"/>
          <w:szCs w:val="14"/>
          <w:u w:val="single"/>
        </w:rPr>
        <w:t>Uwaga: w pozycji „pozostałe” nie należy uwzględniać opakowań, usług towarzyszących (np. logistyka, szkolenia)</w:t>
      </w:r>
    </w:p>
    <w:p w14:paraId="66E2A7F3" w14:textId="77777777" w:rsidR="00386E97" w:rsidRPr="00FA2177" w:rsidRDefault="00386E97" w:rsidP="00386E97">
      <w:pPr>
        <w:spacing w:after="160" w:line="259" w:lineRule="auto"/>
        <w:jc w:val="both"/>
        <w:rPr>
          <w:rFonts w:eastAsia="Calibri" w:cs="Times New Roman"/>
          <w:b/>
          <w:bCs/>
          <w:sz w:val="14"/>
          <w:szCs w:val="14"/>
          <w:u w:val="single"/>
        </w:rPr>
      </w:pPr>
      <w:r w:rsidRPr="00FA2177">
        <w:rPr>
          <w:rFonts w:eastAsia="Calibri" w:cs="Times New Roman"/>
          <w:b/>
          <w:bCs/>
          <w:sz w:val="14"/>
          <w:szCs w:val="14"/>
          <w:u w:val="single"/>
        </w:rPr>
        <w:t>Uwaga! Zamawiający uzna za spełnione przez Wykonawcę zastrzeżenie wynikające z art. 393 ust. 1 pkt 4 Ustawy PZP, jeżeli łączny udział procentowy elementów produktu  pochodzących z UE lub państw, z którymi UE zawarła umowę  o równym traktowaniu przedsiębiorców lub wobec państw wobec, których na mocy decyzji Rady stosuje się przepisy dyrektywy 2014/25/UE</w:t>
      </w:r>
      <w:r w:rsidRPr="00FA2177" w:rsidDel="00503EE6">
        <w:rPr>
          <w:rFonts w:eastAsia="Calibri" w:cs="Times New Roman"/>
          <w:b/>
          <w:bCs/>
          <w:sz w:val="14"/>
          <w:szCs w:val="14"/>
          <w:u w:val="single"/>
        </w:rPr>
        <w:t xml:space="preserve"> </w:t>
      </w:r>
      <w:r w:rsidRPr="00FA2177">
        <w:rPr>
          <w:rFonts w:eastAsia="Calibri" w:cs="Times New Roman"/>
          <w:b/>
          <w:bCs/>
          <w:sz w:val="14"/>
          <w:szCs w:val="14"/>
          <w:u w:val="single"/>
        </w:rPr>
        <w:t xml:space="preserve">dla transformatora przekroczy 50%. </w:t>
      </w:r>
    </w:p>
    <w:p w14:paraId="4B127BD8" w14:textId="77777777" w:rsidR="00386E97" w:rsidRPr="00CE0141" w:rsidRDefault="00386E97" w:rsidP="00CE0141">
      <w:pPr>
        <w:spacing w:after="160" w:line="259" w:lineRule="auto"/>
        <w:jc w:val="both"/>
        <w:rPr>
          <w:rFonts w:eastAsia="Calibri" w:cs="Times New Roman"/>
          <w:color w:val="FF0000"/>
          <w:sz w:val="14"/>
          <w:szCs w:val="14"/>
        </w:rPr>
      </w:pPr>
    </w:p>
    <w:p w14:paraId="32AF8E65" w14:textId="77777777" w:rsidR="00CE0141" w:rsidRPr="00CE0141" w:rsidRDefault="00CE0141" w:rsidP="00CE0141">
      <w:pPr>
        <w:spacing w:after="160" w:line="259" w:lineRule="auto"/>
        <w:rPr>
          <w:rFonts w:eastAsia="Calibri" w:cs="Times New Roman"/>
          <w:sz w:val="14"/>
          <w:szCs w:val="14"/>
        </w:rPr>
      </w:pPr>
    </w:p>
    <w:p w14:paraId="551B3AE8" w14:textId="77777777" w:rsidR="008217CE" w:rsidRPr="00535E9B" w:rsidRDefault="008217CE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>Kwalifikowany podpis elektroniczny osób</w:t>
      </w:r>
    </w:p>
    <w:p w14:paraId="0A9FC962" w14:textId="6AA98464" w:rsidR="00CE0141" w:rsidRPr="00535E9B" w:rsidRDefault="008217CE" w:rsidP="00CE0141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>uprawnionych do składania oświadczeń woli w imieniu</w:t>
      </w:r>
    </w:p>
    <w:p w14:paraId="3A2076E1" w14:textId="66787751" w:rsidR="00CE0141" w:rsidRDefault="008217CE" w:rsidP="001C608E">
      <w:pPr>
        <w:spacing w:after="160" w:line="259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Wykonawców 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wspólnie ubiegających się o udzielenie zamówienia</w:t>
      </w: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14:paraId="36863A37" w14:textId="6554B1FB" w:rsidR="00663E92" w:rsidRDefault="00663E92" w:rsidP="001C608E">
      <w:pPr>
        <w:spacing w:after="160" w:line="259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D3CC8AA" w14:textId="77777777" w:rsidR="00663E92" w:rsidRPr="001C608E" w:rsidRDefault="00663E92" w:rsidP="001C608E">
      <w:pPr>
        <w:spacing w:after="160" w:line="259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bookmarkStart w:id="6" w:name="_GoBack"/>
      <w:bookmarkEnd w:id="6"/>
    </w:p>
    <w:p w14:paraId="5B50A33A" w14:textId="2AB82403" w:rsidR="00BE7FAD" w:rsidRPr="00CE0141" w:rsidRDefault="00CE0141" w:rsidP="00CE0141">
      <w:pPr>
        <w:spacing w:after="160" w:line="259" w:lineRule="auto"/>
        <w:rPr>
          <w:rFonts w:eastAsia="Calibri" w:cs="Times New Roman"/>
          <w:i/>
          <w:sz w:val="16"/>
          <w:szCs w:val="16"/>
        </w:rPr>
      </w:pPr>
      <w:r w:rsidRPr="00CE0141">
        <w:rPr>
          <w:rFonts w:eastAsia="Calibri" w:cs="Times New Roman"/>
          <w:i/>
          <w:sz w:val="16"/>
          <w:szCs w:val="16"/>
        </w:rPr>
        <w:t>Zamawiający może, w przypadku zamówienia na dostawy, odrzucić ofertę, w której udział produktów, w tym oprogramowania wykorzystywanego w wyposażeniu sieci telekomunikacyjnych pochodzących z państw członkowskich Unii Europejskiej, państw, z którymi Unia Europejska zawarła umowy o równym traktowaniu przedsiębiorców, lub państw, wobec których na mocy decyzji Rady stosuje się przepisy dyrektywy 2014/25/UE, nie przekracza 50 %, jeżeli przewidział to w ogłoszeniu o zamówieniu, a jeżeli postępowanie nie jest wszczynane za pomocą ogłoszenia o zamówieniu – w SWZ</w:t>
      </w:r>
    </w:p>
    <w:sectPr w:rsidR="00BE7FAD" w:rsidRPr="00CE0141" w:rsidSect="00F32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BBCECB6" w16cex:dateUtc="2025-10-31T06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A69F0C" w16cid:durableId="5BBCEC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0EBD0" w14:textId="77777777" w:rsidR="00E3223B" w:rsidRDefault="00E3223B" w:rsidP="00582CE9">
      <w:pPr>
        <w:spacing w:after="0"/>
      </w:pPr>
      <w:r>
        <w:separator/>
      </w:r>
    </w:p>
  </w:endnote>
  <w:endnote w:type="continuationSeparator" w:id="0">
    <w:p w14:paraId="32A7A1B2" w14:textId="77777777" w:rsidR="00E3223B" w:rsidRDefault="00E3223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63950B5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E9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E3223B" w:rsidRDefault="00E32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6D037301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E92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3223B" w:rsidRDefault="00E32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E8680" w14:textId="77777777" w:rsidR="00E3223B" w:rsidRDefault="00E3223B" w:rsidP="00582CE9">
      <w:pPr>
        <w:spacing w:after="0"/>
      </w:pPr>
      <w:r>
        <w:separator/>
      </w:r>
    </w:p>
  </w:footnote>
  <w:footnote w:type="continuationSeparator" w:id="0">
    <w:p w14:paraId="080AB3D9" w14:textId="77777777" w:rsidR="00E3223B" w:rsidRDefault="00E3223B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3223B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E3223B" w:rsidRPr="006E100D" w:rsidRDefault="00E3223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C25AD74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84B61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977" w:type="dxa"/>
          <w:vAlign w:val="center"/>
        </w:tcPr>
        <w:p w14:paraId="3FED520E" w14:textId="72C65808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3223B" w:rsidRDefault="00E3223B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3223B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E3223B" w:rsidRPr="006E100D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76ADCC0" w14:textId="5CD0A122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E260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6119" w:type="dxa"/>
          <w:vAlign w:val="center"/>
        </w:tcPr>
        <w:p w14:paraId="09A39017" w14:textId="39D2E6D8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88559653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3223B" w:rsidRDefault="00E32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9CC"/>
    <w:multiLevelType w:val="hybridMultilevel"/>
    <w:tmpl w:val="B268C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9" w15:restartNumberingAfterBreak="0">
    <w:nsid w:val="311D57FE"/>
    <w:multiLevelType w:val="hybridMultilevel"/>
    <w:tmpl w:val="8CA07E04"/>
    <w:lvl w:ilvl="0" w:tplc="0772EDD6">
      <w:start w:val="1"/>
      <w:numFmt w:val="decimal"/>
      <w:lvlText w:val="%1."/>
      <w:lvlJc w:val="left"/>
      <w:pPr>
        <w:ind w:left="1494" w:hanging="360"/>
      </w:pPr>
      <w:rPr>
        <w:rFonts w:ascii="Calibri" w:eastAsia="Times New Roman" w:hAnsi="Calibri" w:cs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6B65A1F"/>
    <w:multiLevelType w:val="hybridMultilevel"/>
    <w:tmpl w:val="91341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2"/>
  </w:num>
  <w:num w:numId="7">
    <w:abstractNumId w:val="1"/>
  </w:num>
  <w:num w:numId="8">
    <w:abstractNumId w:val="17"/>
  </w:num>
  <w:num w:numId="9">
    <w:abstractNumId w:val="11"/>
  </w:num>
  <w:num w:numId="10">
    <w:abstractNumId w:val="2"/>
  </w:num>
  <w:num w:numId="11">
    <w:abstractNumId w:val="8"/>
  </w:num>
  <w:num w:numId="12">
    <w:abstractNumId w:val="6"/>
  </w:num>
  <w:num w:numId="13">
    <w:abstractNumId w:val="16"/>
  </w:num>
  <w:num w:numId="14">
    <w:abstractNumId w:val="15"/>
  </w:num>
  <w:num w:numId="15">
    <w:abstractNumId w:val="10"/>
  </w:num>
  <w:num w:numId="16">
    <w:abstractNumId w:val="5"/>
  </w:num>
  <w:num w:numId="17">
    <w:abstractNumId w:val="3"/>
  </w:num>
  <w:num w:numId="18">
    <w:abstractNumId w:val="9"/>
  </w:num>
  <w:num w:numId="19">
    <w:abstractNumId w:val="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3D97"/>
    <w:rsid w:val="00036B40"/>
    <w:rsid w:val="00036D76"/>
    <w:rsid w:val="00040B6D"/>
    <w:rsid w:val="000517CD"/>
    <w:rsid w:val="00051B85"/>
    <w:rsid w:val="00054A92"/>
    <w:rsid w:val="00054F98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A6D8F"/>
    <w:rsid w:val="000B0DBD"/>
    <w:rsid w:val="000B5CE0"/>
    <w:rsid w:val="000C47A9"/>
    <w:rsid w:val="000C679C"/>
    <w:rsid w:val="000D29CA"/>
    <w:rsid w:val="000D2F65"/>
    <w:rsid w:val="000D42BE"/>
    <w:rsid w:val="000D5886"/>
    <w:rsid w:val="000E0921"/>
    <w:rsid w:val="000E1564"/>
    <w:rsid w:val="000E58BD"/>
    <w:rsid w:val="000E7005"/>
    <w:rsid w:val="00101BCF"/>
    <w:rsid w:val="001035B4"/>
    <w:rsid w:val="00104A96"/>
    <w:rsid w:val="00106FF7"/>
    <w:rsid w:val="001112C2"/>
    <w:rsid w:val="00123BA0"/>
    <w:rsid w:val="00124536"/>
    <w:rsid w:val="00125A7F"/>
    <w:rsid w:val="00126CEA"/>
    <w:rsid w:val="00132B64"/>
    <w:rsid w:val="00133E9C"/>
    <w:rsid w:val="00136B64"/>
    <w:rsid w:val="0014036E"/>
    <w:rsid w:val="001435DC"/>
    <w:rsid w:val="00144245"/>
    <w:rsid w:val="00145125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A5481"/>
    <w:rsid w:val="001B0061"/>
    <w:rsid w:val="001B11E7"/>
    <w:rsid w:val="001B1FCB"/>
    <w:rsid w:val="001C0F16"/>
    <w:rsid w:val="001C4DEB"/>
    <w:rsid w:val="001C608E"/>
    <w:rsid w:val="001D1A8B"/>
    <w:rsid w:val="001D2EB1"/>
    <w:rsid w:val="001E0EB2"/>
    <w:rsid w:val="001E3D0A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36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B254A"/>
    <w:rsid w:val="002B3C5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8CB"/>
    <w:rsid w:val="002E3E8B"/>
    <w:rsid w:val="002F071C"/>
    <w:rsid w:val="002F10CA"/>
    <w:rsid w:val="002F1491"/>
    <w:rsid w:val="00301132"/>
    <w:rsid w:val="00303C67"/>
    <w:rsid w:val="00310CB3"/>
    <w:rsid w:val="00317AD5"/>
    <w:rsid w:val="003376A8"/>
    <w:rsid w:val="00341A5C"/>
    <w:rsid w:val="00347346"/>
    <w:rsid w:val="00347E8D"/>
    <w:rsid w:val="00362C4E"/>
    <w:rsid w:val="00366FFB"/>
    <w:rsid w:val="00371A75"/>
    <w:rsid w:val="00374D54"/>
    <w:rsid w:val="00375780"/>
    <w:rsid w:val="00384B61"/>
    <w:rsid w:val="00386E97"/>
    <w:rsid w:val="00387578"/>
    <w:rsid w:val="00387A0D"/>
    <w:rsid w:val="003903C2"/>
    <w:rsid w:val="00395532"/>
    <w:rsid w:val="00395F60"/>
    <w:rsid w:val="003A448C"/>
    <w:rsid w:val="003A4CC6"/>
    <w:rsid w:val="003A555E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57E0"/>
    <w:rsid w:val="00431851"/>
    <w:rsid w:val="004328AD"/>
    <w:rsid w:val="004367FB"/>
    <w:rsid w:val="00436C85"/>
    <w:rsid w:val="00436F85"/>
    <w:rsid w:val="0044629B"/>
    <w:rsid w:val="00446871"/>
    <w:rsid w:val="00446E2F"/>
    <w:rsid w:val="004530C7"/>
    <w:rsid w:val="00460D33"/>
    <w:rsid w:val="00466493"/>
    <w:rsid w:val="00466DDB"/>
    <w:rsid w:val="004707CE"/>
    <w:rsid w:val="00473D75"/>
    <w:rsid w:val="0047759A"/>
    <w:rsid w:val="00481DA8"/>
    <w:rsid w:val="004850DE"/>
    <w:rsid w:val="00485BF7"/>
    <w:rsid w:val="004925D9"/>
    <w:rsid w:val="00492AEE"/>
    <w:rsid w:val="00496273"/>
    <w:rsid w:val="004A0348"/>
    <w:rsid w:val="004A723C"/>
    <w:rsid w:val="004B29F9"/>
    <w:rsid w:val="004B2F78"/>
    <w:rsid w:val="004C0E65"/>
    <w:rsid w:val="004C2303"/>
    <w:rsid w:val="004C2DDA"/>
    <w:rsid w:val="004C396F"/>
    <w:rsid w:val="004C39F9"/>
    <w:rsid w:val="004C49BF"/>
    <w:rsid w:val="004C68CD"/>
    <w:rsid w:val="004D154B"/>
    <w:rsid w:val="004D5549"/>
    <w:rsid w:val="004D63D5"/>
    <w:rsid w:val="004E1AB0"/>
    <w:rsid w:val="004E2AD7"/>
    <w:rsid w:val="004E4C43"/>
    <w:rsid w:val="004E6341"/>
    <w:rsid w:val="004E7573"/>
    <w:rsid w:val="004E7851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7E3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34993"/>
    <w:rsid w:val="00642E89"/>
    <w:rsid w:val="00650868"/>
    <w:rsid w:val="0065322E"/>
    <w:rsid w:val="0065524E"/>
    <w:rsid w:val="00655DA8"/>
    <w:rsid w:val="00660237"/>
    <w:rsid w:val="006621F3"/>
    <w:rsid w:val="00663E92"/>
    <w:rsid w:val="006649AC"/>
    <w:rsid w:val="00664AA4"/>
    <w:rsid w:val="00666F60"/>
    <w:rsid w:val="00670CE4"/>
    <w:rsid w:val="0067116D"/>
    <w:rsid w:val="00672D33"/>
    <w:rsid w:val="0067572D"/>
    <w:rsid w:val="006775EE"/>
    <w:rsid w:val="00680F7C"/>
    <w:rsid w:val="0068600F"/>
    <w:rsid w:val="00687716"/>
    <w:rsid w:val="00694A5F"/>
    <w:rsid w:val="00696995"/>
    <w:rsid w:val="006A0331"/>
    <w:rsid w:val="006A4275"/>
    <w:rsid w:val="006A74B5"/>
    <w:rsid w:val="006B0E65"/>
    <w:rsid w:val="006B2C26"/>
    <w:rsid w:val="006B66CB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3B2"/>
    <w:rsid w:val="00701B60"/>
    <w:rsid w:val="00703735"/>
    <w:rsid w:val="00707DEC"/>
    <w:rsid w:val="00710355"/>
    <w:rsid w:val="00716FA6"/>
    <w:rsid w:val="00720ED1"/>
    <w:rsid w:val="007246D0"/>
    <w:rsid w:val="007268CC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1073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E2604"/>
    <w:rsid w:val="007F2646"/>
    <w:rsid w:val="00801DB6"/>
    <w:rsid w:val="008045B5"/>
    <w:rsid w:val="00812E3F"/>
    <w:rsid w:val="008130D5"/>
    <w:rsid w:val="008142F6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651B"/>
    <w:rsid w:val="00887CA1"/>
    <w:rsid w:val="008926B5"/>
    <w:rsid w:val="00894A41"/>
    <w:rsid w:val="008A3F67"/>
    <w:rsid w:val="008A7413"/>
    <w:rsid w:val="008B19CD"/>
    <w:rsid w:val="008B6316"/>
    <w:rsid w:val="008B67AA"/>
    <w:rsid w:val="008C619A"/>
    <w:rsid w:val="008C75AB"/>
    <w:rsid w:val="008D6A33"/>
    <w:rsid w:val="008D6DE2"/>
    <w:rsid w:val="008D6FD3"/>
    <w:rsid w:val="008E0026"/>
    <w:rsid w:val="008E2EA9"/>
    <w:rsid w:val="008E44C1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34715"/>
    <w:rsid w:val="00935B17"/>
    <w:rsid w:val="00936AC2"/>
    <w:rsid w:val="00944154"/>
    <w:rsid w:val="00944BEA"/>
    <w:rsid w:val="00945651"/>
    <w:rsid w:val="0095285C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2802"/>
    <w:rsid w:val="009B3502"/>
    <w:rsid w:val="009B51B6"/>
    <w:rsid w:val="009B5CDA"/>
    <w:rsid w:val="009B633C"/>
    <w:rsid w:val="009C3C59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9F47AE"/>
    <w:rsid w:val="00A02C84"/>
    <w:rsid w:val="00A148D6"/>
    <w:rsid w:val="00A166F8"/>
    <w:rsid w:val="00A252AD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4F9F"/>
    <w:rsid w:val="00A65238"/>
    <w:rsid w:val="00A70A38"/>
    <w:rsid w:val="00A730B9"/>
    <w:rsid w:val="00A7626A"/>
    <w:rsid w:val="00A809BD"/>
    <w:rsid w:val="00A81CFB"/>
    <w:rsid w:val="00A8449E"/>
    <w:rsid w:val="00A85D6F"/>
    <w:rsid w:val="00A91A11"/>
    <w:rsid w:val="00A91B9E"/>
    <w:rsid w:val="00AA134E"/>
    <w:rsid w:val="00AA3417"/>
    <w:rsid w:val="00AA4D49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459E"/>
    <w:rsid w:val="00B05E1A"/>
    <w:rsid w:val="00B075DE"/>
    <w:rsid w:val="00B10201"/>
    <w:rsid w:val="00B10A71"/>
    <w:rsid w:val="00B10C2C"/>
    <w:rsid w:val="00B14FFD"/>
    <w:rsid w:val="00B17A2B"/>
    <w:rsid w:val="00B21235"/>
    <w:rsid w:val="00B260E3"/>
    <w:rsid w:val="00B30125"/>
    <w:rsid w:val="00B3053E"/>
    <w:rsid w:val="00B312C6"/>
    <w:rsid w:val="00B31C09"/>
    <w:rsid w:val="00B32748"/>
    <w:rsid w:val="00B344E0"/>
    <w:rsid w:val="00B34ACD"/>
    <w:rsid w:val="00B36325"/>
    <w:rsid w:val="00B379DE"/>
    <w:rsid w:val="00B4163F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7727A"/>
    <w:rsid w:val="00B801D6"/>
    <w:rsid w:val="00B8070E"/>
    <w:rsid w:val="00B82B59"/>
    <w:rsid w:val="00B83A96"/>
    <w:rsid w:val="00B83F8A"/>
    <w:rsid w:val="00B93467"/>
    <w:rsid w:val="00B9396E"/>
    <w:rsid w:val="00BA0FF4"/>
    <w:rsid w:val="00BA5673"/>
    <w:rsid w:val="00BA7675"/>
    <w:rsid w:val="00BB0255"/>
    <w:rsid w:val="00BB180C"/>
    <w:rsid w:val="00BB37B6"/>
    <w:rsid w:val="00BC3599"/>
    <w:rsid w:val="00BC5574"/>
    <w:rsid w:val="00BC6B6D"/>
    <w:rsid w:val="00BD13B3"/>
    <w:rsid w:val="00BD1D08"/>
    <w:rsid w:val="00BE07F9"/>
    <w:rsid w:val="00BE0A2C"/>
    <w:rsid w:val="00BE0AE4"/>
    <w:rsid w:val="00BE38BB"/>
    <w:rsid w:val="00BE7FAD"/>
    <w:rsid w:val="00BF4BEB"/>
    <w:rsid w:val="00BF60C4"/>
    <w:rsid w:val="00C003C6"/>
    <w:rsid w:val="00C033B9"/>
    <w:rsid w:val="00C07741"/>
    <w:rsid w:val="00C10B09"/>
    <w:rsid w:val="00C11F99"/>
    <w:rsid w:val="00C12714"/>
    <w:rsid w:val="00C160BE"/>
    <w:rsid w:val="00C1682E"/>
    <w:rsid w:val="00C20678"/>
    <w:rsid w:val="00C224EE"/>
    <w:rsid w:val="00C23F3E"/>
    <w:rsid w:val="00C26B2A"/>
    <w:rsid w:val="00C26BC0"/>
    <w:rsid w:val="00C272AD"/>
    <w:rsid w:val="00C27B9D"/>
    <w:rsid w:val="00C4204B"/>
    <w:rsid w:val="00C44E7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87F27"/>
    <w:rsid w:val="00C940A4"/>
    <w:rsid w:val="00CA14AA"/>
    <w:rsid w:val="00CA45F4"/>
    <w:rsid w:val="00CB277B"/>
    <w:rsid w:val="00CB2D26"/>
    <w:rsid w:val="00CB3A6F"/>
    <w:rsid w:val="00CB7528"/>
    <w:rsid w:val="00CB785B"/>
    <w:rsid w:val="00CC0073"/>
    <w:rsid w:val="00CC1DCD"/>
    <w:rsid w:val="00CC6125"/>
    <w:rsid w:val="00CC6811"/>
    <w:rsid w:val="00CD066E"/>
    <w:rsid w:val="00CD2022"/>
    <w:rsid w:val="00CD6EB7"/>
    <w:rsid w:val="00CE0141"/>
    <w:rsid w:val="00CE2F55"/>
    <w:rsid w:val="00CF00F5"/>
    <w:rsid w:val="00CF62B9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36778"/>
    <w:rsid w:val="00D47AFD"/>
    <w:rsid w:val="00D47C35"/>
    <w:rsid w:val="00D516C1"/>
    <w:rsid w:val="00D62E35"/>
    <w:rsid w:val="00D6344F"/>
    <w:rsid w:val="00D6408B"/>
    <w:rsid w:val="00D805FD"/>
    <w:rsid w:val="00D80BC6"/>
    <w:rsid w:val="00D80E4A"/>
    <w:rsid w:val="00D84850"/>
    <w:rsid w:val="00D85FD0"/>
    <w:rsid w:val="00D9234B"/>
    <w:rsid w:val="00D9793B"/>
    <w:rsid w:val="00DA23B0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4129"/>
    <w:rsid w:val="00DE5745"/>
    <w:rsid w:val="00DF2ED5"/>
    <w:rsid w:val="00E02DE3"/>
    <w:rsid w:val="00E12F47"/>
    <w:rsid w:val="00E16545"/>
    <w:rsid w:val="00E2123D"/>
    <w:rsid w:val="00E30B4B"/>
    <w:rsid w:val="00E3223B"/>
    <w:rsid w:val="00E33932"/>
    <w:rsid w:val="00E413AB"/>
    <w:rsid w:val="00E41451"/>
    <w:rsid w:val="00E45F98"/>
    <w:rsid w:val="00E5515D"/>
    <w:rsid w:val="00E56B47"/>
    <w:rsid w:val="00E650AC"/>
    <w:rsid w:val="00E669FA"/>
    <w:rsid w:val="00E66F4B"/>
    <w:rsid w:val="00E706C2"/>
    <w:rsid w:val="00E724C8"/>
    <w:rsid w:val="00E72CD1"/>
    <w:rsid w:val="00E773DE"/>
    <w:rsid w:val="00E8041E"/>
    <w:rsid w:val="00E8082E"/>
    <w:rsid w:val="00E83142"/>
    <w:rsid w:val="00E85F59"/>
    <w:rsid w:val="00E92370"/>
    <w:rsid w:val="00E92F67"/>
    <w:rsid w:val="00E95B91"/>
    <w:rsid w:val="00EA13E3"/>
    <w:rsid w:val="00EA6557"/>
    <w:rsid w:val="00EA6B97"/>
    <w:rsid w:val="00EB216E"/>
    <w:rsid w:val="00EB64AF"/>
    <w:rsid w:val="00EC07C0"/>
    <w:rsid w:val="00EC22FA"/>
    <w:rsid w:val="00EC30C5"/>
    <w:rsid w:val="00EC4311"/>
    <w:rsid w:val="00EC637E"/>
    <w:rsid w:val="00ED2FD4"/>
    <w:rsid w:val="00ED7239"/>
    <w:rsid w:val="00EE1D2B"/>
    <w:rsid w:val="00EE5D1B"/>
    <w:rsid w:val="00EE5E2C"/>
    <w:rsid w:val="00EE6923"/>
    <w:rsid w:val="00EF1FA4"/>
    <w:rsid w:val="00EF6022"/>
    <w:rsid w:val="00F014DB"/>
    <w:rsid w:val="00F01E75"/>
    <w:rsid w:val="00F20BB5"/>
    <w:rsid w:val="00F21DD8"/>
    <w:rsid w:val="00F24A50"/>
    <w:rsid w:val="00F25128"/>
    <w:rsid w:val="00F32BD1"/>
    <w:rsid w:val="00F377D2"/>
    <w:rsid w:val="00F46915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60FC"/>
    <w:rsid w:val="00F835B4"/>
    <w:rsid w:val="00F86AE9"/>
    <w:rsid w:val="00F90B96"/>
    <w:rsid w:val="00F9174F"/>
    <w:rsid w:val="00F95865"/>
    <w:rsid w:val="00FA0F6A"/>
    <w:rsid w:val="00FA20FE"/>
    <w:rsid w:val="00FA2177"/>
    <w:rsid w:val="00FA5869"/>
    <w:rsid w:val="00FA7937"/>
    <w:rsid w:val="00FB0646"/>
    <w:rsid w:val="00FB243F"/>
    <w:rsid w:val="00FB2FCA"/>
    <w:rsid w:val="00FB61C7"/>
    <w:rsid w:val="00FC4AEF"/>
    <w:rsid w:val="00FC7BB0"/>
    <w:rsid w:val="00FD1496"/>
    <w:rsid w:val="00FD22AB"/>
    <w:rsid w:val="00FD2808"/>
    <w:rsid w:val="00FD3338"/>
    <w:rsid w:val="00FD7AE6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qFormat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85BF7"/>
    <w:rPr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7F2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7F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F27"/>
    <w:rPr>
      <w:vertAlign w:val="superscript"/>
    </w:rPr>
  </w:style>
  <w:style w:type="table" w:customStyle="1" w:styleId="Tabela-Siatka41">
    <w:name w:val="Tabela - Siatka41"/>
    <w:basedOn w:val="Standardowy"/>
    <w:next w:val="Tabela-Siatka"/>
    <w:uiPriority w:val="39"/>
    <w:rsid w:val="00CE014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252AD"/>
    <w:pPr>
      <w:spacing w:after="0"/>
    </w:pPr>
    <w:rPr>
      <w:sz w:val="18"/>
    </w:rPr>
  </w:style>
  <w:style w:type="table" w:customStyle="1" w:styleId="Tabela-Siatka5">
    <w:name w:val="Tabela - Siatka5"/>
    <w:basedOn w:val="Standardowy"/>
    <w:next w:val="Tabela-Siatka"/>
    <w:uiPriority w:val="59"/>
    <w:rsid w:val="009B2802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oświadczenie o kraju pochodzenia.docx</dmsv2BaseFileName>
    <dmsv2BaseDisplayName xmlns="http://schemas.microsoft.com/sharepoint/v3">Załącznik nr 12 oświadczenie o kraju pochodzenia</dmsv2BaseDisplayName>
    <dmsv2SWPP2ObjectNumber xmlns="http://schemas.microsoft.com/sharepoint/v3">POST/DYS/OLD/GZ/03206/2025                        </dmsv2SWPP2ObjectNumber>
    <dmsv2SWPP2SumMD5 xmlns="http://schemas.microsoft.com/sharepoint/v3">4f55731f93fe04125dc5203bb10bce68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23714272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DPFVW34YURAE-150815970-4212</_dlc_DocId>
    <_dlc_DocIdUrl xmlns="a19cb1c7-c5c7-46d4-85ae-d83685407bba">
      <Url>https://swpp2.dms.gkpge.pl/sites/40/_layouts/15/DocIdRedir.aspx?ID=DPFVW34YURAE-150815970-4212</Url>
      <Description>DPFVW34YURAE-150815970-4212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DF6027B-4BC9-4F4B-A815-4F2CDFD640FC}"/>
</file>

<file path=customXml/itemProps4.xml><?xml version="1.0" encoding="utf-8"?>
<ds:datastoreItem xmlns:ds="http://schemas.openxmlformats.org/officeDocument/2006/customXml" ds:itemID="{7AD11802-3C90-465A-AE79-B635BD33671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7B8BB3-EC54-4359-90AE-6981352495D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367</TotalTime>
  <Pages>2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22</cp:revision>
  <cp:lastPrinted>2025-02-19T11:52:00Z</cp:lastPrinted>
  <dcterms:created xsi:type="dcterms:W3CDTF">2025-09-12T12:11:00Z</dcterms:created>
  <dcterms:modified xsi:type="dcterms:W3CDTF">2025-11-07T09:37:00Z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6fc68417-06e0-4bc6-ba6c-965ca2f7bb9d</vt:lpwstr>
  </property>
</Properties>
</file>